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1105-B</w:t>
        <w:t xml:space="preserve">.  </w:t>
      </w:r>
      <w:r>
        <w:rPr>
          <w:b/>
        </w:rPr>
        <w:t xml:space="preserve">Aggravated trafficking or furnishing of counterfeit drugs</w:t>
      </w:r>
    </w:p>
    <w:p>
      <w:pPr>
        <w:jc w:val="both"/>
        <w:spacing w:before="100" w:after="100"/>
        <w:ind w:start="360"/>
        <w:ind w:firstLine="360"/>
      </w:pPr>
      <w:r>
        <w:rPr>
          <w:b/>
        </w:rPr>
        <w:t>1</w:t>
        <w:t xml:space="preserve">.  </w:t>
      </w:r>
      <w:r>
        <w:rPr>
          <w:b/>
        </w:rPr>
      </w:r>
      <w:r>
        <w:t xml:space="preserve"> </w:t>
      </w:r>
      <w:r>
        <w:t xml:space="preserve">A person is guilty of aggravated trafficking in or furnishing a counterfeit drug if the person violates </w:t>
      </w:r>
      <w:r>
        <w:t>section 1104</w:t>
      </w:r>
      <w:r>
        <w:t xml:space="preserve"> and:</w:t>
      </w:r>
    </w:p>
    <w:p>
      <w:pPr>
        <w:jc w:val="both"/>
        <w:spacing w:before="100" w:after="0"/>
        <w:ind w:start="720"/>
      </w:pPr>
      <w:r>
        <w:rPr/>
        <w:t>A</w:t>
        <w:t xml:space="preserve">.  </w:t>
      </w:r>
      <w:r>
        <w:rPr/>
      </w:r>
      <w:r>
        <w:t xml:space="preserve">The person trafficks in a counterfeit drug with or furnishes a counterfeit drug to a child who is in fact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w:t>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§40 (AMD).]</w:t>
      </w:r>
    </w:p>
    <w:p>
      <w:pPr>
        <w:jc w:val="both"/>
        <w:spacing w:before="100" w:after="0"/>
        <w:ind w:start="720"/>
      </w:pPr>
      <w:r>
        <w:rPr/>
        <w:t>C</w:t>
        <w:t xml:space="preserve">.  </w:t>
      </w:r>
      <w:r>
        <w:rPr/>
      </w:r>
      <w:r>
        <w:t xml:space="preserve">At the time of the offense, the person possesses a firearm in the furtherance of the offense, uses a firearm, carries a firearm or is armed with a firearm; or</w:t>
      </w:r>
      <w:r>
        <w:t xml:space="preserve">  </w:t>
      </w:r>
      <w:r xmlns:wp="http://schemas.openxmlformats.org/drawingml/2010/wordprocessingDrawing" xmlns:w15="http://schemas.microsoft.com/office/word/2012/wordml">
        <w:rPr>
          <w:rFonts w:ascii="Arial" w:hAnsi="Arial" w:cs="Arial"/>
          <w:sz w:val="22"/>
          <w:szCs w:val="22"/>
        </w:rPr>
        <w:t xml:space="preserve">[PL 2003, c. 476, §4 (AMD).]</w:t>
      </w:r>
    </w:p>
    <w:p>
      <w:pPr>
        <w:jc w:val="both"/>
        <w:spacing w:before="100" w:after="0"/>
        <w:ind w:start="720"/>
      </w:pPr>
      <w:r>
        <w:rPr/>
        <w:t>D</w:t>
        <w:t xml:space="preserve">.  </w:t>
      </w:r>
      <w:r>
        <w:rPr/>
      </w:r>
      <w:r>
        <w:t xml:space="preserve">Death or serious bodily injury of another person is in fact caused by the use of one or more drugs and the drug furnished by the defendant is a contributing factor to the death or serious bodily injury of the other person.</w:t>
      </w:r>
      <w:r>
        <w:t xml:space="preserve">  </w:t>
      </w:r>
      <w:r xmlns:wp="http://schemas.openxmlformats.org/drawingml/2010/wordprocessingDrawing" xmlns:w15="http://schemas.microsoft.com/office/word/2012/wordml">
        <w:rPr>
          <w:rFonts w:ascii="Arial" w:hAnsi="Arial" w:cs="Arial"/>
          <w:sz w:val="22"/>
          <w:szCs w:val="22"/>
        </w:rPr>
        <w:t xml:space="preserve">[PL 2017, c. 460, Pt. F,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§4 (AMD).]</w:t>
      </w:r>
    </w:p>
    <w:p>
      <w:pPr>
        <w:jc w:val="both"/>
        <w:spacing w:before="100" w:after="0"/>
        <w:ind w:start="360"/>
        <w:ind w:firstLine="360"/>
      </w:pPr>
      <w:r>
        <w:rPr>
          <w:b/>
        </w:rPr>
        <w:t>2</w:t>
        <w:t xml:space="preserve">.  </w:t>
      </w:r>
      <w:r>
        <w:rPr>
          <w:b/>
        </w:rPr>
      </w:r>
      <w:r>
        <w:t xml:space="preserve"> </w:t>
      </w:r>
      <w:r>
        <w:t xml:space="preserve">Aggravated trafficking in or furnishing a counterfeit drug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If a person uses a motor vehicle to facilitate the aggravated trafficking in or furnishing of a counterfeit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§D26 (AMD). PL 2001, c. 667, §D36 (AFF). PL 2003, c. 476, §§3-5 (AMD). PL 2007, c. 476, §40 (AMD). PL 2017, c. 460,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§1105-B. Aggravated trafficking or furnishing of counterfeit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§1105-B. Aggravated trafficking or furnishing of counterfeit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§1105-B. AGGRAVATED TRAFFICKING OR FURNISHING OF COUNTERFEIT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