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Schedule Z drugs; contraband subject to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§1114. SCHEDULE Z DRUGS; CONTRABAND SUBJECT TO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