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§1814. ADDITIONAL CONDITIONS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