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Waiver of issue of excessiveness</w:t>
      </w:r>
    </w:p>
    <w:p>
      <w:pPr>
        <w:jc w:val="both"/>
        <w:spacing w:before="100" w:after="100"/>
        <w:ind w:start="360"/>
        <w:ind w:firstLine="360"/>
      </w:pPr>
      <w:r>
        <w:rPr/>
      </w:r>
      <w:r>
        <w:rPr/>
      </w:r>
      <w:r>
        <w:t xml:space="preserve">If a defendant at the time of sentencing has consented to the imposition by the sentencing court of a specific amount of restitution, the defendant is thereafter precluded from seeking to attack the legality or propriety of the amount of restitution ordered if that amount does not exceed the specific amount consented to by the defendant.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§2017. Waiver of issue of excessiveness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Waiver of issue of excessiveness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§2017. WAIVER OF ISSUE OF EXCESSIVENESS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