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Deductions relative to parole eligibility for individual sentenced prior to effective date of Maine Criminal Code</w:t>
      </w:r>
    </w:p>
    <w:p>
      <w:pPr>
        <w:jc w:val="both"/>
        <w:spacing w:before="100" w:after="100"/>
        <w:ind w:start="360"/>
        <w:ind w:firstLine="360"/>
      </w:pPr>
      <w:r>
        <w:rPr/>
      </w:r>
      <w:r>
        <w:rPr/>
      </w:r>
      <w:r>
        <w:t xml:space="preserve">An individual convicted of an offense committed prior to May 1, 1976 and sentenced under the law then in effect may elect to have that individual's parole eligibility calculated using the deductions based on conduct and participation available to individuals sentenced under this Code.  The election must result in the application of deductions pursuant to </w:t>
      </w:r>
      <w:r>
        <w:t>section 2310</w:t>
      </w:r>
      <w:r>
        <w:t xml:space="preserve">.  The parole eligibility and deductions based on conduct and participation of an individual who does not so elect must be calculated in accordance with the laws in effect on the date the offense was committed.  This section may not be construed to compel or permit discharge of any individual sooner than the discharge would have occurred under the law in effect on the date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§2313. Deductions relative to parole eligibility for individual sentenced prior to effective date of Maine Criminal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Deductions relative to parole eligibility for individual sentenced prior to effective date of Maine Criminal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§2313. DEDUCTIONS RELATIVE TO PAROLE ELIGIBILITY FOR INDIVIDUAL SENTENCED PRIOR TO EFFECTIVE DATE OF MAINE CRIMINAL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