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§255-A. Unlawful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§255-A. UNLAWFUL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