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§757-A. Trafficking of tobacco in adult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Trafficking of tobacco in adult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§757-A. TRAFFICKING OF TOBACCO IN ADULT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