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A. Moto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Moto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3-A. MOTO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