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§3966. Animals in food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Animals in food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§3966. ANIMALS IN FOOD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