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Removal of trustee</w:t>
      </w:r>
    </w:p>
    <w:p>
      <w:pPr>
        <w:jc w:val="both"/>
        <w:spacing w:before="100" w:after="0"/>
        <w:ind w:start="360"/>
        <w:ind w:firstLine="360"/>
      </w:pPr>
      <w:r>
        <w:rPr>
          <w:b/>
        </w:rPr>
        <w:t>1</w:t>
        <w:t xml:space="preserve">.  </w:t>
      </w:r>
      <w:r>
        <w:rPr>
          <w:b/>
        </w:rPr>
        <w:t xml:space="preserve">Request to remove trustee.</w:t>
        <w:t xml:space="preserve"> </w:t>
      </w:r>
      <w:r>
        <w:t xml:space="preserve"> </w:t>
      </w:r>
      <w:r>
        <w:t xml:space="preserve">The settlor, a cotrustee or a beneficiary may request the court to remove a trustee, or a trustee may be removed by the court on its own initiative.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Removal by court.</w:t>
        <w:t xml:space="preserve"> </w:t>
      </w:r>
      <w:r>
        <w:t xml:space="preserve"> </w:t>
      </w:r>
      <w:r>
        <w:t xml:space="preserve">The court may remove a trustee if:</w:t>
      </w:r>
    </w:p>
    <w:p>
      <w:pPr>
        <w:jc w:val="both"/>
        <w:spacing w:before="100" w:after="0"/>
        <w:ind w:start="720"/>
      </w:pPr>
      <w:r>
        <w:rPr/>
        <w:t>A</w:t>
        <w:t xml:space="preserve">.  </w:t>
      </w:r>
      <w:r>
        <w:rPr/>
      </w:r>
      <w:r>
        <w:t xml:space="preserve">The trustee has committed a serious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Lack of cooperation among cotrustees substantially impairs the administration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Because of unfitness, unwillingness or persistent failure of the trustee to administer the trust effectively, the court determines that removal of the trustee best serves the interests of the beneficiaries;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There has been a substantial change of circumstances or removal is requested by all of the qualified beneficiaries, the court finds that removal of the trustee best serves the interests of all of the beneficiaries and is not inconsistent with a material purpose of the trust, and a suitable cotrustee or successor trustee is available.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Appropriate relief.</w:t>
        <w:t xml:space="preserve"> </w:t>
      </w:r>
      <w:r>
        <w:t xml:space="preserve"> </w:t>
      </w:r>
      <w:r>
        <w:t xml:space="preserve">Pending a final decision on a request to remove a trustee, or in lieu of or in addition to removing a trustee, the court may order such appropriate relief under </w:t>
      </w:r>
      <w:r>
        <w:t>section 1001, subsection 2</w:t>
      </w:r>
      <w:r>
        <w:t xml:space="preserve"> as may be necessary to protect the trust property or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 Removal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Removal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§706. REMOVAL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