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Waiver of notice</w:t>
      </w:r>
    </w:p>
    <w:p>
      <w:pPr>
        <w:jc w:val="both"/>
        <w:spacing w:before="100" w:after="0"/>
        <w:ind w:start="360"/>
        <w:ind w:firstLine="360"/>
      </w:pPr>
      <w:r>
        <w:rPr>
          <w:b/>
        </w:rPr>
        <w:t>1</w:t>
        <w:t xml:space="preserve">.  </w:t>
      </w:r>
      <w:r>
        <w:rPr>
          <w:b/>
        </w:rPr>
        <w:t xml:space="preserve">Waiver by person.</w:t>
        <w:t xml:space="preserve"> </w:t>
      </w:r>
      <w:r>
        <w:t xml:space="preserve"> </w:t>
      </w:r>
      <w:r>
        <w:t xml:space="preserve">Except as otherwise provided in </w:t>
      </w:r>
      <w:r>
        <w:t>subsection 2</w:t>
      </w:r>
      <w:r>
        <w:t xml:space="preserve">, a person may waive notice under this Act in a record signed by the person or the person's attorney and filed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Waiver prohibited.</w:t>
        <w:t xml:space="preserve"> </w:t>
      </w:r>
      <w:r>
        <w:t xml:space="preserve"> </w:t>
      </w:r>
      <w:r>
        <w:t xml:space="preserve">Unless represented by an attorney, a respondent, an individual subject to guardianship, an individual subject to conservatorship, an individual subject to a protective arrangement instead of guardianship or conservatorship, an appointed guardian or an appointed conservator may not waive notice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§5-114.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§5-114.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