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5-916</w:t>
        <w:t xml:space="preserve">.  </w:t>
      </w:r>
      <w:r>
        <w:rPr>
          <w:b/>
        </w:rPr>
        <w:t xml:space="preserve">Judicial relief</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persons may petition the Probate Court or the Superior Court for the county in which either the principal or the agent resides to construe a power of attorney or review the agent's conduct and grant appropriate relief:</w:t>
      </w:r>
    </w:p>
    <w:p>
      <w:pPr>
        <w:jc w:val="both"/>
        <w:spacing w:before="100" w:after="0"/>
        <w:ind w:start="720"/>
      </w:pPr>
      <w:r>
        <w:rPr/>
        <w:t>A</w:t>
        <w:t xml:space="preserve">.  </w:t>
      </w:r>
      <w:r>
        <w:rPr/>
      </w:r>
      <w:r>
        <w:t xml:space="preserve">The principal or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conservator or other fiduciary acting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authorized to make health care decisions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principal's spouse, domestic partner, parent or descendant;</w:t>
      </w:r>
      <w:r>
        <w:t xml:space="preserve">  </w:t>
      </w:r>
      <w:r xmlns:wp="http://schemas.openxmlformats.org/drawingml/2010/wordprocessingDrawing" xmlns:w15="http://schemas.microsoft.com/office/word/2012/wordml">
        <w:rPr>
          <w:rFonts w:ascii="Arial" w:hAnsi="Arial" w:cs="Arial"/>
          <w:sz w:val="22"/>
          <w:szCs w:val="22"/>
        </w:rPr>
        <w:t xml:space="preserve">[PL 2021, c. 567, §13 (AMD).]</w:t>
      </w:r>
    </w:p>
    <w:p>
      <w:pPr>
        <w:jc w:val="both"/>
        <w:spacing w:before="100" w:after="0"/>
        <w:ind w:start="720"/>
      </w:pPr>
      <w:r>
        <w:rPr/>
        <w:t>E</w:t>
        <w:t xml:space="preserve">.  </w:t>
      </w:r>
      <w:r>
        <w:rPr/>
      </w:r>
      <w:r>
        <w:t xml:space="preserve">An individual who would qualify as a presumptive heir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person named as a beneficiary to receive any property, benefit or contractual right on the principal's death or as a beneficiary of a trust created by or for the principal that has a financial interest in the principal's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governmental agency having regulatory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principal's caregiver or another person that demonstrates sufficient interest in the principal's welfare;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 person asked to accept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§13 (AMD).]</w:t>
      </w:r>
    </w:p>
    <w:p>
      <w:pPr>
        <w:jc w:val="both"/>
        <w:spacing w:before="100" w:after="0"/>
        <w:ind w:start="360"/>
        <w:ind w:firstLine="360"/>
      </w:pPr>
      <w:r>
        <w:rPr>
          <w:b/>
        </w:rPr>
        <w:t>2</w:t>
        <w:t xml:space="preserve">.  </w:t>
      </w:r>
      <w:r>
        <w:rPr>
          <w:b/>
        </w:rPr>
        <w:t xml:space="preserve">Motion by principal to dismiss; lack of capacity.</w:t>
        <w:t xml:space="preserve"> </w:t>
      </w:r>
      <w:r>
        <w:t xml:space="preserve"> </w:t>
      </w:r>
      <w:r>
        <w:t xml:space="preserve">Upon motion by the principal, the court shall dismiss a petition filed under this section, unless the court finds that the principal lacks capacity to revoke the agent's authority or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§5-916.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