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7-466</w:t>
        <w:t xml:space="preserve">.  </w:t>
      </w:r>
      <w:r>
        <w:rPr>
          <w:b/>
        </w:rPr>
        <w:t xml:space="preserve">Adjustments between principal and income because of taxes</w:t>
      </w:r>
    </w:p>
    <w:p>
      <w:pPr>
        <w:jc w:val="both"/>
        <w:spacing w:before="100" w:after="100"/>
        <w:ind w:start="360"/>
        <w:ind w:firstLine="360"/>
      </w:pPr>
      <w:r>
        <w:rPr>
          <w:b/>
        </w:rPr>
        <w:t>1</w:t>
        <w:t xml:space="preserve">.  </w:t>
      </w:r>
      <w:r>
        <w:rPr>
          <w:b/>
        </w:rPr>
        <w:t xml:space="preserve">Adjustments to offset shifting of interests or benefits.</w:t>
        <w:t xml:space="preserve"> </w:t>
      </w:r>
      <w:r>
        <w:t xml:space="preserve"> </w:t>
      </w:r>
      <w:r>
        <w:t xml:space="preserve">A fiduciary may make adjustments between principal and income to offset the shifting of economic interests or tax benefits between income beneficiaries and remainder beneficiaries that arise from:</w:t>
      </w:r>
    </w:p>
    <w:p>
      <w:pPr>
        <w:jc w:val="both"/>
        <w:spacing w:before="100" w:after="0"/>
        <w:ind w:start="720"/>
      </w:pPr>
      <w:r>
        <w:rPr/>
        <w:t>A</w:t>
        <w:t xml:space="preserve">.  </w:t>
      </w:r>
      <w:r>
        <w:rPr/>
      </w:r>
      <w:r>
        <w:t xml:space="preserve">Elections and decisions, other than those described in </w:t>
      </w:r>
      <w:r>
        <w:t>subsection 2</w:t>
      </w:r>
      <w:r>
        <w:t xml:space="preserve">, that the fiduciary makes from time to time regarding tax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income tax or any other tax that is imposed upon the fiduciary or a beneficiary as a result of a transaction involving or a distribution from the estate or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ownership by an estate or trust of an interest in an entity whose taxable income, whether or not distributed, is includable in the taxable income of the estate, trust or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Increase in estate tax, reduction in income taxes.</w:t>
        <w:t xml:space="preserve"> </w:t>
      </w:r>
      <w:r>
        <w:t xml:space="preserve"> </w:t>
      </w:r>
      <w:r>
        <w:t xml:space="preserve">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§7-466. Adjustments between principal and income because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§7-466. Adjustments between principal and income because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§7-466. ADJUSTMENTS BETWEEN PRINCIPAL AND INCOME BECAUSE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