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1769</w:t>
        <w:t xml:space="preserve">.  </w:t>
      </w:r>
      <w:r>
        <w:rPr>
          <w:b/>
        </w:rPr>
        <w:t xml:space="preserve">Service of petition and order</w:t>
      </w:r>
    </w:p>
    <w:p>
      <w:pPr>
        <w:jc w:val="both"/>
        <w:spacing w:before="100" w:after="100"/>
        <w:ind w:start="360"/>
        <w:ind w:firstLine="360"/>
      </w:pPr>
      <w:r>
        <w:rPr/>
      </w:r>
      <w:r>
        <w:rPr/>
      </w:r>
      <w:r>
        <w:t xml:space="preserve">Except as otherwise provided in </w:t>
      </w:r>
      <w:r>
        <w:t>section 1771</w:t>
      </w:r>
      <w:r>
        <w:t xml:space="preserve">, the petition and order must be served by any method authorized by the law of this State upon the respondent and any person who has physical custody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§1769. Service of petition and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§1769. Service of petition and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§1769. SERVICE OF PETITION AND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