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w:t>
        <w:t xml:space="preserve">.  </w:t>
      </w:r>
      <w:r>
        <w:rPr>
          <w:b/>
        </w:rPr>
        <w:t xml:space="preserve">Role of law enforcement</w:t>
      </w:r>
    </w:p>
    <w:p>
      <w:pPr>
        <w:jc w:val="both"/>
        <w:spacing w:before="100" w:after="100"/>
        <w:ind w:start="360"/>
        <w:ind w:firstLine="360"/>
      </w:pPr>
      <w:r>
        <w:rPr/>
      </w:r>
      <w:r>
        <w:rPr/>
      </w:r>
      <w:r>
        <w:t xml:space="preserve">At the request of a prosecutor acting under </w:t>
      </w:r>
      <w:r>
        <w:t>section 1775</w:t>
      </w:r>
      <w:r>
        <w:t xml:space="preserve">, a law enforcement officer may take any lawful action reasonably necessary to locate a child or a party and assist a prosecutor with responsibilities under </w:t>
      </w:r>
      <w:r>
        <w:t>section 1775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§1776. Role of law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 Role of law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§1776. ROLE OF LAW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