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1777</w:t>
        <w:t xml:space="preserve">.  </w:t>
      </w:r>
      <w:r>
        <w:rPr>
          <w:b/>
        </w:rPr>
        <w:t xml:space="preserve">Costs and expenses</w:t>
      </w:r>
    </w:p>
    <w:p>
      <w:pPr>
        <w:jc w:val="both"/>
        <w:spacing w:before="100" w:after="100"/>
        <w:ind w:start="360"/>
        <w:ind w:firstLine="360"/>
      </w:pPr>
      <w:r>
        <w:rPr/>
      </w:r>
      <w:r>
        <w:rPr/>
      </w:r>
      <w:r>
        <w:t xml:space="preserve">If the respondent is not the prevailing party, the court may assess against the respondent all direct expenses and costs incurred by the prosecutor and law enforcement officers under </w:t>
      </w:r>
      <w:r>
        <w:t>section 1775</w:t>
      </w:r>
      <w:r>
        <w:t xml:space="preserve"> or </w:t>
      </w:r>
      <w:r>
        <w:t>1776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§1777. Costs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§1777. Costs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§1777. COSTS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