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§1910. CONFIDENTIALITY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