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Duties and powers of responding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Duties and powers of responding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§3005. DUTIES AND POWERS OF RESPONDING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