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Private attorney</w:t>
      </w:r>
    </w:p>
    <w:p>
      <w:pPr>
        <w:jc w:val="both"/>
        <w:spacing w:before="100" w:after="100"/>
        <w:ind w:start="360"/>
        <w:ind w:firstLine="360"/>
      </w:pPr>
      <w:r>
        <w:rPr/>
      </w:r>
      <w:r>
        <w:rPr/>
      </w:r>
      <w:r>
        <w:t xml:space="preserve">An individual may employ a private attorney to represent the individual in proceedings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§3009. Private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Private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§3009. PRIVATE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