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A. Duties of the department as the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A. Duties of the department as the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0-A. DUTIES OF THE DEPARTMENT AS THE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