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§3101-B. Employer's compliance with 2 or more income-withholding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§3101-B. Employer's compliance with 2 or more income-withholding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§3101-B. EMPLOYER'S COMPLIANCE WITH 2 OR MORE INCOME-WITHHOLDING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