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Effect of children</w:t>
      </w:r>
    </w:p>
    <w:p>
      <w:pPr>
        <w:jc w:val="both"/>
        <w:spacing w:before="100" w:after="100"/>
        <w:ind w:start="360"/>
        <w:ind w:firstLine="360"/>
      </w:pPr>
      <w:r>
        <w:rPr/>
      </w:r>
      <w:r>
        <w:rPr/>
      </w:r>
      <w:r>
        <w:t xml:space="preserve">Except as otherwise provided in this section, an effective premarital agreement is void 18 months after the parties to the agreement become parents or guardians of a minor. The premarital agreement is not void if, within the 18-month period, the parties sign a written amendment to the agreement either stating that the agreement remains in effect or altering the agreement. </w:t>
      </w:r>
      <w:r>
        <w:t>Sections 607</w:t>
      </w:r>
      <w:r>
        <w:t xml:space="preserve"> and </w:t>
      </w:r>
      <w:r>
        <w:t>608</w:t>
      </w:r>
      <w:r>
        <w:t xml:space="preserve"> apply to any amendment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296, Pt. C, §7 (AMD); PL 2015, c. 296, Pt. D, §1 (AFF).]</w:t>
      </w:r>
    </w:p>
    <w:p>
      <w:pPr>
        <w:jc w:val="both"/>
        <w:spacing w:before="100" w:after="100"/>
        <w:ind w:start="360"/>
        <w:ind w:firstLine="360"/>
      </w:pPr>
      <w:r>
        <w:rPr/>
      </w:r>
      <w:r>
        <w:rPr/>
      </w:r>
      <w:r>
        <w:t xml:space="preserve">This section does not apply to premarital agreements executed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§7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Effect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Effect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§606. EFFECT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