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 Lack of jurisdiction 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Lack of jurisdiction 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§657. LACK OF JURISDICTION 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