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10. ADOPTION SUBSIDY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