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Residence; office hours; secretary; salary</w:t>
      </w:r>
    </w:p>
    <w:p>
      <w:pPr>
        <w:jc w:val="both"/>
        <w:spacing w:before="100" w:after="100"/>
        <w:ind w:start="360"/>
        <w:ind w:firstLine="360"/>
      </w:pPr>
      <w:r>
        <w:rPr/>
      </w:r>
      <w:r>
        <w:rPr/>
      </w:r>
      <w:r>
        <w:t xml:space="preserve">The Governor is entitled to reside in the Governor's official residence at Augusta during the Governor's term of office and shall keep an office at the State House open for the transaction of the business of the State during all normal working hours of the State House.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In the absence of the Governor, the Governor's private secretary must be in attendance and the private secretary shall devote the private secretary's entire time to the duties of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Beginning the first Wednesday of January 1987, the Governor is entitled to receive an annual salary of $70,000.  Beginning the first Wednesday of January 2027, the Governor is entitled to receive an annual salary of $125,000.</w:t>
      </w:r>
      <w:r>
        <w:t xml:space="preserve">  </w:t>
      </w:r>
      <w:r xmlns:wp="http://schemas.openxmlformats.org/drawingml/2010/wordprocessingDrawing" xmlns:w15="http://schemas.microsoft.com/office/word/2012/wordml">
        <w:rPr>
          <w:rFonts w:ascii="Arial" w:hAnsi="Arial" w:cs="Arial"/>
          <w:sz w:val="22"/>
          <w:szCs w:val="22"/>
        </w:rPr>
        <w:t xml:space="preserve">[PL 2023, c. 488, §1 (AMD).]</w:t>
      </w:r>
    </w:p>
    <w:p>
      <w:pPr>
        <w:jc w:val="both"/>
        <w:spacing w:before="100" w:after="100"/>
        <w:ind w:start="360"/>
        <w:ind w:firstLine="360"/>
      </w:pPr>
      <w:r>
        <w:rPr/>
      </w:r>
      <w:r>
        <w:rPr/>
      </w:r>
      <w:r>
        <w:t xml:space="preserve">A former Governor may accept as a personal gift from the State at the end of the Governor's final term the desk and chair used by that Governor as Governor.</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§1 (AMD). PL 1973, c. 597 (AMD). PL 1983, c. 477, Pt. E, Subpt. 24, §§1, 2 (AMD). PL 1985, c. 693, §1 (AMD). PL 1987, c. 437, §1 (AMD). PL 1993, c. 361, §B1 (AMD). PL 2019, c. 475, §6 (AMD). PL 2023, c. 488,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Residence; office hours; secretary;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Residence; office hours; secretary;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 RESIDENCE; OFFICE HOURS; SECRETARY;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