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428-B</w:t>
      </w:r>
    </w:p>
    <w:p>
      <w:pPr>
        <w:jc w:val="center"/>
        <w:ind w:start="360"/>
        <w:spacing w:before="300" w:after="300"/>
      </w:pPr>
      <w:r>
        <w:rPr>
          <w:b/>
        </w:rPr>
        <w:t xml:space="preserve">FUTURE FOR YOUTH IN MAINE LOAN REPAYMENT PROGRAM</w:t>
      </w:r>
    </w:p>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428-B. FUTURE FOR YOUTH IN MAINE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428-B. FUTURE FOR YOUTH IN MAINE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428-B. FUTURE FOR YOUTH IN MAINE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