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10206</w:t>
        <w:t xml:space="preserve">.  </w:t>
      </w:r>
      <w:r>
        <w:rPr>
          <w:b/>
        </w:rPr>
        <w:t xml:space="preserve">Exemptions</w:t>
      </w:r>
    </w:p>
    <w:p>
      <w:pPr>
        <w:jc w:val="both"/>
        <w:spacing w:before="100" w:after="100"/>
        <w:ind w:start="360"/>
        <w:ind w:firstLine="360"/>
      </w:pPr>
      <w:r>
        <w:rPr/>
      </w:r>
      <w:r>
        <w:rPr/>
      </w:r>
      <w:r>
        <w:t xml:space="preserve">The following exemptions shall apply to ETLM:</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w:pPr>
        <w:jc w:val="both"/>
        <w:spacing w:before="100" w:after="0"/>
        <w:ind w:start="360"/>
        <w:ind w:firstLine="360"/>
      </w:pPr>
      <w:r>
        <w:rPr>
          <w:b/>
        </w:rPr>
        <w:t>1</w:t>
        <w:t xml:space="preserve">.  </w:t>
      </w:r>
      <w:r>
        <w:rPr>
          <w:b/>
        </w:rPr>
        <w:t xml:space="preserve">Rulemaking.</w:t>
        <w:t xml:space="preserve"> </w:t>
      </w:r>
      <w:r>
        <w:t xml:space="preserve"> </w:t>
      </w:r>
      <w:r>
        <w:t xml:space="preserve">ETLM shall not be subject to the requirements of the Maine Administrative Procedure Act, </w:t>
      </w:r>
      <w:r>
        <w:t>Title 5, chapter 375</w:t>
      </w:r>
      <w:r>
        <w:t xml:space="preserve">, before it may adopt standards or policies to be utilized in carrying out its duties under this chapter, nor in establishing and setting fees to be charged for services provided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Freedom of access.</w:t>
        <w:t xml:space="preserve"> </w:t>
      </w:r>
      <w:r>
        <w:t xml:space="preserve"> </w:t>
      </w:r>
      <w:r>
        <w:t xml:space="preserve">Records maintained by ETLM relative to services provided to persons, corporations or any other body in accordance with this chapter are not public records as that term is defined in </w:t>
      </w:r>
      <w:r>
        <w:t>Title 1, section 402, subsection 3</w:t>
      </w:r>
      <w:r>
        <w:t xml:space="preserve">, except for the fiscal records maintained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