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§10908. EDUCATIONAL OPPORTUNITIES FOR RECIPIENTS OF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