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11410</w:t>
        <w:t xml:space="preserve">.  </w:t>
      </w:r>
      <w:r>
        <w:rPr>
          <w:b/>
        </w:rPr>
        <w:t xml:space="preserve">Authorization</w:t>
      </w:r>
    </w:p>
    <w:p>
      <w:pPr>
        <w:jc w:val="both"/>
        <w:spacing w:before="100" w:after="100"/>
        <w:ind w:start="360"/>
        <w:ind w:firstLine="360"/>
      </w:pPr>
      <w:r>
        <w:rPr/>
      </w:r>
      <w:r>
        <w:rPr/>
      </w:r>
      <w:r>
        <w:t xml:space="preserve">In accordance with the federal Higher Education Act of 1965, 20 United States Code, Chapter 28, Subchapter IV, Part A, Subparts 3 and 6; and Subchapter V, Part D, Subpart 1, as amended, the Finance Authority of Maine shall administer the State Student Incentive Grant Program the Robert C. Byrd Honors Scholarship Program and the Paul Douglas Teacher Scholarship Program.</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§11410.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§11410.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§11410.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