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11432</w:t>
        <w:t xml:space="preserve">.  </w:t>
      </w:r>
      <w:r>
        <w:rPr>
          <w:b/>
        </w:rPr>
        <w:t xml:space="preserve">Termination of existence of authority</w:t>
      </w:r>
    </w:p>
    <w:p>
      <w:pPr>
        <w:jc w:val="both"/>
        <w:spacing w:before="100" w:after="100"/>
        <w:ind w:start="360"/>
        <w:ind w:firstLine="360"/>
      </w:pPr>
      <w:r>
        <w:rPr/>
      </w:r>
      <w:r>
        <w:rPr/>
      </w:r>
      <w:r>
        <w:t xml:space="preserve">A law terminating  the existence  of the authority may not take effect as long as any bonds of the authority issued under this chapter are outstanding and unpaid without adequate provision for payment having been made.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§11432. Termination of existence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§11432. Termination of existence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§11432. TERMINATION OF EXISTENCE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