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11612</w:t>
        <w:t xml:space="preserve">.  </w:t>
      </w:r>
      <w:r>
        <w:rPr>
          <w:b/>
        </w:rPr>
        <w:t xml:space="preserve">Eligibility</w:t>
      </w:r>
    </w:p>
    <w:p>
      <w:pPr>
        <w:jc w:val="both"/>
        <w:spacing w:before="100" w:after="100"/>
        <w:ind w:start="360"/>
        <w:ind w:firstLine="360"/>
      </w:pPr>
      <w:r>
        <w:rPr/>
      </w:r>
      <w:r>
        <w:rPr/>
      </w:r>
      <w:r>
        <w:t xml:space="preserve">The Maine State Grant Program is established.  Under the program, grants may be given only to residents of the State who:</w:t>
      </w:r>
      <w:r>
        <w:t xml:space="preserve">  </w:t>
      </w:r>
      <w:r xmlns:wp="http://schemas.openxmlformats.org/drawingml/2010/wordprocessingDrawing" xmlns:w15="http://schemas.microsoft.com/office/word/2012/wordml">
        <w:rPr>
          <w:rFonts w:ascii="Arial" w:hAnsi="Arial" w:cs="Arial"/>
          <w:sz w:val="22"/>
          <w:szCs w:val="22"/>
        </w:rPr>
        <w:t xml:space="preserve">[PL 2001, c. 70, §5 (AMD).]</w:t>
      </w:r>
    </w:p>
    <w:p>
      <w:pPr>
        <w:jc w:val="both"/>
        <w:spacing w:before="100" w:after="0"/>
        <w:ind w:start="360"/>
        <w:ind w:firstLine="360"/>
      </w:pPr>
      <w:r>
        <w:rPr>
          <w:b/>
        </w:rPr>
        <w:t>1</w:t>
        <w:t xml:space="preserve">.  </w:t>
      </w:r>
      <w:r>
        <w:rPr>
          <w:b/>
        </w:rPr>
        <w:t xml:space="preserve">Graduated.</w:t>
        <w:t xml:space="preserve"> </w:t>
      </w:r>
      <w:r>
        <w:t xml:space="preserve"> </w:t>
      </w:r>
      <w:r>
        <w:t xml:space="preserve">Have graduated from an approved secondary school or matriculated at a post-secondary school prior to high school graduation, or have successfully completed a general educational development examination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0"/>
        <w:ind w:start="360"/>
        <w:ind w:firstLine="360"/>
      </w:pPr>
      <w:r>
        <w:rPr>
          <w:b/>
        </w:rPr>
        <w:t>2</w:t>
        <w:t xml:space="preserve">.  </w:t>
      </w:r>
      <w:r>
        <w:rPr>
          <w:b/>
        </w:rPr>
        <w:t xml:space="preserve">Accepted as undergraduate.</w:t>
        <w:t xml:space="preserve"> </w:t>
      </w:r>
      <w:r>
        <w:t xml:space="preserve"> </w:t>
      </w:r>
      <w:r>
        <w:t xml:space="preserve">Have been accepted for enrollment as undergraduates or are in good standing as undergraduates at institutions of higher education in an eligible program of study and have not received a previous baccalaureate degree;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0"/>
        <w:ind w:start="360"/>
        <w:ind w:firstLine="360"/>
      </w:pPr>
      <w:r>
        <w:rPr>
          <w:b/>
        </w:rPr>
        <w:t>3</w:t>
        <w:t xml:space="preserve">.  </w:t>
      </w:r>
      <w:r>
        <w:rPr>
          <w:b/>
        </w:rPr>
        <w:t xml:space="preserve">Applied for grants.</w:t>
        <w:t xml:space="preserve"> </w:t>
      </w:r>
      <w:r>
        <w:t xml:space="preserve"> </w:t>
      </w:r>
      <w:r>
        <w:t xml:space="preserve">Have applied for a Maine State Grant according to schedules and procedures and on forms developed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§6 (AMD).]</w:t>
      </w:r>
    </w:p>
    <w:p>
      <w:pPr>
        <w:jc w:val="both"/>
        <w:spacing w:before="100" w:after="0"/>
        <w:ind w:start="360"/>
        <w:ind w:firstLine="360"/>
      </w:pPr>
      <w:r>
        <w:rPr>
          <w:b/>
        </w:rPr>
        <w:t>4</w:t>
        <w:t xml:space="preserve">.  </w:t>
      </w:r>
      <w:r>
        <w:rPr>
          <w:b/>
        </w:rPr>
        <w:t xml:space="preserve">Demonstrate financial need.</w:t>
        <w:t xml:space="preserve"> </w:t>
      </w:r>
      <w:r>
        <w:t xml:space="preserve"> </w:t>
      </w:r>
      <w:r>
        <w:t xml:space="preserve">Have been determined by the authority to have a financial need according to the criteria set forth in </w:t>
      </w:r>
      <w:r>
        <w:t>section 11613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0"/>
        <w:ind w:start="360"/>
        <w:ind w:firstLine="360"/>
      </w:pPr>
      <w:r>
        <w:rPr>
          <w:b/>
        </w:rPr>
        <w:t>5</w:t>
        <w:t xml:space="preserve">.  </w:t>
      </w:r>
      <w:r>
        <w:rPr>
          <w:b/>
        </w:rPr>
        <w:t xml:space="preserve">State residency requirements.</w:t>
        <w:t xml:space="preserve"> </w:t>
      </w:r>
      <w:r>
        <w:t xml:space="preserve"> </w:t>
      </w:r>
      <w:r>
        <w:t xml:space="preserve">Meet the state residency requirements that may be established by rules adopted by the authority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PL 1991, c. 573, §1 (AMD). PL 2001, c. 70,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§11612.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§11612.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§11612.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