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11810</w:t>
        <w:t xml:space="preserve">.  </w:t>
      </w:r>
      <w:r>
        <w:rPr>
          <w:b/>
        </w:rPr>
        <w:t xml:space="preserve">Rules</w:t>
      </w:r>
    </w:p>
    <w:p>
      <w:pPr>
        <w:jc w:val="both"/>
        <w:spacing w:before="100" w:after="100"/>
        <w:ind w:start="360"/>
        <w:ind w:firstLine="360"/>
      </w:pPr>
      <w:r>
        <w:rPr/>
      </w:r>
      <w:r>
        <w:rPr/>
      </w:r>
      <w:r>
        <w:t xml:space="preserve">The authority shall establish all rules necessary to carry out the purposes of this chapter, except that the Commissioner of Health and Human Services shall develop rules for determining underserved areas for the practice of allopathic medicine, dentistry and optometry and the Commissioner of Agriculture, Food and Rural Resources shall develop rules for the determination of underserved areas for the practice of veterinary medicine. The rules authorized by this section are adopted in accordance with the Maine Administrative Procedure Act,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612, §8 (RPR);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455, §§10,11 (NEW). PL 1989, c. 698, §25 (AMD). PL 1989, c. 700, §A61 (AMD). PL 1991, c. 612, §8 (RPR).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§11810.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§11810.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§11810.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