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12306</w:t>
        <w:t xml:space="preserve">.  </w:t>
      </w:r>
      <w:r>
        <w:rPr>
          <w:b/>
        </w:rPr>
        <w:t xml:space="preserve">Stakeholder consultation</w:t>
      </w:r>
    </w:p>
    <w:p>
      <w:pPr>
        <w:jc w:val="both"/>
        <w:spacing w:before="100" w:after="100"/>
        <w:ind w:start="360"/>
        <w:ind w:firstLine="360"/>
      </w:pPr>
      <w:r>
        <w:rPr/>
      </w:r>
      <w:r>
        <w:rPr/>
      </w:r>
      <w:r>
        <w:t xml:space="preserve">In administering the program and assessing its effectiveness, the chief executive officer may consult stakeholders from the dental community, including, but not limited to, representatives of dental education and practitioner communities in the State and organizations representing the interests of low-income communities in the State.</w:t>
      </w:r>
      <w:r>
        <w:t xml:space="preserve">  </w:t>
      </w:r>
      <w:r xmlns:wp="http://schemas.openxmlformats.org/drawingml/2010/wordprocessingDrawing" xmlns:w15="http://schemas.microsoft.com/office/word/2012/wordml">
        <w:rPr>
          <w:rFonts w:ascii="Arial" w:hAnsi="Arial" w:cs="Arial"/>
          <w:sz w:val="22"/>
          <w:szCs w:val="22"/>
        </w:rPr>
        <w:t xml:space="preserve">[RR 2019, c. 1,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§8 (NEW). RR 2019, c. 1,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§12306. Stakeholder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§12306. Stakeholder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§12306. STAKEHOLDER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