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w:t>
      </w:r>
    </w:p>
    <w:p>
      <w:pPr>
        <w:jc w:val="both"/>
        <w:spacing w:before="100" w:after="0"/>
        <w:ind w:start="360"/>
        <w:ind w:firstLine="360"/>
      </w:pPr>
      <w:r>
        <w:rPr>
          <w:b/>
        </w:rPr>
        <w:t>2</w:t>
        <w:t xml:space="preserve">.  </w:t>
      </w:r>
      <w:r>
        <w:rPr>
          <w:b/>
        </w:rPr>
        <w:t xml:space="preserve">Eligible employment position.</w:t>
        <w:t xml:space="preserve"> </w:t>
      </w:r>
      <w:r>
        <w:t xml:space="preserve"> </w:t>
      </w:r>
      <w:r>
        <w:t xml:space="preserve">"Eligible employment position" means a full-time position within the State as the founder or employee of a statewide recognized economic development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 PL 2009, c. 369, Pt. A,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