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tuition waiver under this chapter may apply to the authority for determination of eligibility.  Application must be on forms and in a manner prescribed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§17 (RPR).]</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child for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(AMD); PL 1989, c. 698, §76 (AFF).]</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698, §45 (AMD). PL 1989, c. 700, §A64 (AMD). PL 1991, c. 612,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