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505, §12 (AMD). PL 1987, c. 848, §1 (AMD). PL 1989, c. 875, §E27 (AMD). RR 1991, c. 2, §70 (COR). PL 1991, c. 528, §I7 (AMD). PL 1991, c. 528, §RRR (AFF). PL 1991, c. 591, §I7 (AMD). PL 1991, c. 625, §1 (AMD). PL 1991, c. 625, §5 (AFF). PL 1991, c. 802, §3 (AMD). PL 1993, c. 410, §F5 (AMD). PL 1993, c. 684, §3 (AMD). PL 1995, c. 368, §Y1 (AMD). PL 1997, c. 469, §1 (AMD). PL 1997, c. 643, §D1 (AMD). PL 1999, c. 401, §GG1 (AMD). PL 1999, c. 731, §D1 (AMD). PL 2001, c. 358, §U1 (AMD). PL 2001, c. 559, §D1 (AMD). PL 2001, c. 714, §FF1 (AMD). PL 2003, c. 20, §C2 (AMD). PL 2003, c. 504, §§B2-15 (AMD). PL 2003, c. 688, §§A16,17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