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15613</w:t>
        <w:t xml:space="preserve">.  </w:t>
      </w:r>
      <w:r>
        <w:rPr>
          <w:b/>
        </w:rPr>
        <w:t xml:space="preserve">Authorization and schedules of payment of state subsidy; appeals;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789, §§4,9 (AMD). PL 1985, c. 797, §61 (AMD). PL 1987, c. 737, §§C57,C106 (AMD). PL 1987, c. 848, §§9,10 (AMD). PL 1989, c. 6 (AMD). PL 1989, c. 9, §2 (AMD). PL 1989, c. 104, §§C8,C10 (AMD). PL 1989, c. 414, §25 (AMD). PL 1989, c. 524, §§1-3 (AMD). PL 1989, c. 560 (AMD). PL 1989, c. 700, §A73 (AMD). PL 1989, c. 875, §E33 (AMD). PL 1991, c. 71 (AMD). PL 1993, c. 410, §F19 (AMD). PL 1995, c. 427, §2 (AMD). PL 1997, c. 326, §5 (AMD). PL 1997, c. 395, §R1 (AMD). PL 2001, c. 127, §1 (AMD). PL 2001, c. 559, §D2 (AMD). PL 2003, c. 712, §8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§15613. Authorization and schedules of payment of state subsidy; appeals;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§15613. Authorization and schedules of payment of state subsidy; appeals;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§15613. AUTHORIZATION AND SCHEDULES OF PAYMENT OF STATE SUBSIDY; APPEALS;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