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20117</w:t>
        <w:t xml:space="preserve">.  </w:t>
      </w:r>
      <w:r>
        <w:rPr>
          <w:b/>
        </w:rPr>
        <w:t xml:space="preserve">Severability and construction - Article 17</w:t>
      </w:r>
    </w:p>
    <w:p>
      <w:pPr>
        <w:jc w:val="both"/>
        <w:spacing w:before="100" w:after="0"/>
        <w:ind w:start="360"/>
        <w:ind w:firstLine="360"/>
      </w:pPr>
      <w:r>
        <w:rPr>
          <w:b/>
        </w:rPr>
        <w:t>1</w:t>
        <w:t xml:space="preserve">.  </w:t>
      </w:r>
      <w:r>
        <w:rPr>
          <w:b/>
        </w:rPr>
        <w:t xml:space="preserve">Severability.</w:t>
        <w:t xml:space="preserve"> </w:t>
      </w:r>
      <w:r>
        <w:t xml:space="preserve"> </w:t>
      </w:r>
      <w:r>
        <w:t xml:space="preserve">The provisions of this compact are severable, and if any phrase, clause, sentence or provision is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The provisions of this compact must be liberally construed to effectuate its purposes. 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§20117. Severability and construction - Article 17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§20117. Severability and construction - Article 17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§20117. SEVERABILITY AND CONSTRUCTION - ARTICLE 17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