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§2411. Charter term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Charter term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§2411. CHARTER TERM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