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4514</w:t>
        <w:t xml:space="preserve">.  </w:t>
      </w:r>
      <w:r>
        <w:rPr>
          <w:b/>
        </w:rPr>
        <w:t xml:space="preserve">Costs of accreditation process</w:t>
      </w:r>
    </w:p>
    <w:p>
      <w:pPr>
        <w:jc w:val="both"/>
        <w:spacing w:before="100" w:after="100"/>
        <w:ind w:start="360"/>
        <w:ind w:firstLine="360"/>
      </w:pPr>
      <w:r>
        <w:rPr/>
      </w:r>
      <w:r>
        <w:rPr/>
      </w:r>
      <w:r>
        <w:t xml:space="preserve">The commissioner may require that schools applying for state accreditation pay the direct costs of the advisory committee, such as housing and meals of visiting committees, but these costs may not include the actual costs, salaries or general overhead expenses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859, Pt. A, §§ 20,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§4514. Costs of accreditation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§4514. COSTS OF ACCREDITATION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