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§6359. IMMUNIZATION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