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6454</w:t>
        <w:t xml:space="preserve">.  </w:t>
      </w:r>
      <w:r>
        <w:rPr>
          <w:b/>
        </w:rPr>
        <w:t xml:space="preserve">Oral health assessments</w:t>
      </w:r>
    </w:p>
    <w:p>
      <w:pPr>
        <w:jc w:val="both"/>
        <w:spacing w:before="100" w:after="100"/>
        <w:ind w:start="360"/>
        <w:ind w:firstLine="360"/>
      </w:pPr>
      <w:r>
        <w:rPr/>
      </w:r>
      <w:r>
        <w:rPr/>
      </w:r>
      <w:r>
        <w:t xml:space="preserve">The commissioner shall cooperate with the Commissioner of Health and Human Services in implementing a grant program developed in accordance with </w:t>
      </w:r>
      <w:r>
        <w:t>Title 22, section 2128</w:t>
      </w:r>
      <w:r>
        <w:t xml:space="preserve"> to increase the provision of oral health assessments for children entering elementary  school.  A child whose parent objects in writing to an oral health assessment on religious grounds may not be assessed.</w:t>
      </w:r>
      <w:r>
        <w:t xml:space="preserve">  </w:t>
      </w:r>
      <w:r xmlns:wp="http://schemas.openxmlformats.org/drawingml/2010/wordprocessingDrawing" xmlns:w15="http://schemas.microsoft.com/office/word/2012/wordml">
        <w:rPr>
          <w:rFonts w:ascii="Arial" w:hAnsi="Arial" w:cs="Arial"/>
          <w:sz w:val="22"/>
          <w:szCs w:val="22"/>
        </w:rPr>
        <w:t xml:space="preserve">[PL 2005, c. 653,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§6454. Oral health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§6454. Oral health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§6454. ORAL HEALTH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