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w:pPr>
        <w:jc w:val="both"/>
        <w:spacing w:before="100" w:after="0"/>
        <w:ind w:start="360"/>
        <w:ind w:firstLine="360"/>
      </w:pPr>
      <w:r>
        <w:rPr>
          <w:b/>
        </w:rPr>
        <w:t>5</w:t>
        <w:t xml:space="preserve">.  </w:t>
      </w:r>
      <w:r>
        <w:rPr>
          <w:b/>
        </w:rPr>
        <w:t xml:space="preserve">Individualized education program due process facilitators; immunity.</w:t>
        <w:t xml:space="preserve"> </w:t>
      </w:r>
      <w:r>
        <w:t xml:space="preserve"> </w:t>
      </w:r>
      <w:r>
        <w:t xml:space="preserve">The State may contract with individualized education program due process facilitators. For the purposes of the Maine Tort Claims Act, while carrying out their official duties pursuant to this section, persons contracted with as individualized education program due process facilitators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PL 2023, c. 643, Pt. 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§7207-B. DUE PROCESS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