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7210</w:t>
        <w:t xml:space="preserve">.  </w:t>
      </w:r>
      <w:r>
        <w:rPr>
          <w:b/>
        </w:rPr>
        <w:t xml:space="preserve">Conflict of interest</w:t>
      </w:r>
    </w:p>
    <w:p>
      <w:pPr>
        <w:jc w:val="both"/>
        <w:spacing w:before="100" w:after="100"/>
        <w:ind w:start="360"/>
        <w:ind w:firstLine="360"/>
      </w:pPr>
      <w:r>
        <w:rPr/>
      </w:r>
      <w:r>
        <w:rPr/>
      </w:r>
      <w:r>
        <w:t xml:space="preserve">Notwithstanding </w:t>
      </w:r>
      <w:r>
        <w:t>Title 5, section 18, subsection 1, paragraph B</w:t>
      </w:r>
      <w:r>
        <w:t xml:space="preserve">, all members of the state-level advisory committee established under </w:t>
      </w:r>
      <w:r>
        <w:t>section 7209, subsection 2</w:t>
      </w:r>
      <w:r>
        <w:t xml:space="preserve"> and all employees, contractors, agents and other representatives of the state intermediate educational unit are deemed executive employees solely for purposes of </w:t>
      </w:r>
      <w:r>
        <w:t>Title 5, section 18</w:t>
      </w:r>
      <w:r>
        <w:t xml:space="preserve">.  The department shall provide training to participants to ensure compliance with conflict of interest requirements.</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§A30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§7210.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§7210.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§7210.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