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7257</w:t>
        <w:t xml:space="preserve">.  </w:t>
      </w:r>
      <w:r>
        <w:rPr>
          <w:b/>
        </w:rPr>
        <w:t xml:space="preserve">General supervision</w:t>
      </w:r>
    </w:p>
    <w:p>
      <w:pPr>
        <w:jc w:val="both"/>
        <w:spacing w:before="100" w:after="100"/>
        <w:ind w:start="360"/>
        <w:ind w:firstLine="360"/>
      </w:pPr>
      <w:r>
        <w:rPr/>
      </w:r>
      <w:r>
        <w:rPr/>
      </w:r>
      <w:r>
        <w:t xml:space="preserve">All educational programs for children with disabilities within the State, including all such programs administered by any other state or local agency, are under the general supervision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662,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64 (NEW). PL 2005, c. 662,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§7257. General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§7257. General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§7257. GENERAL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