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adopt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Eastern Aroostook Regional School Unit retains ownership of the Limestone Elementary School and the Limestone Junior Senior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§10 (AMD).]</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rules and regulations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mathematics and science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§1 (AMD).]</w:t>
      </w:r>
    </w:p>
    <w:p>
      <w:pPr>
        <w:jc w:val="both"/>
        <w:spacing w:before="100" w:after="0"/>
        <w:ind w:start="360"/>
        <w:ind w:firstLine="360"/>
      </w:pPr>
      <w:r>
        <w:rPr>
          <w:b/>
        </w:rPr>
        <w:t>16-A</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§2 (NEW).]</w:t>
      </w:r>
    </w:p>
    <w:p>
      <w:pPr>
        <w:jc w:val="both"/>
        <w:spacing w:before="100" w:after="0"/>
        <w:ind w:start="360"/>
        <w:ind w:firstLine="360"/>
      </w:pPr>
      <w:r>
        <w:rPr>
          <w:b/>
        </w:rPr>
        <w:t>16-B</w:t>
        <w:t xml:space="preserve">.  </w:t>
      </w:r>
      <w:r>
        <w:rPr>
          <w:b/>
        </w:rPr>
        <w:t xml:space="preserve">Sustainability report.</w:t>
        <w:t xml:space="preserve"> </w:t>
      </w:r>
      <w:r>
        <w:t xml:space="preserve"> </w:t>
      </w:r>
      <w:r>
        <w:t xml:space="preserve">To submit to the joint standing committee of the Legislature having jurisdiction over education matters a sustainability report by February 1st of each year beginning February 1, 2024 and annually thereafter.  The report must include a plan for and updates on student recruitment efforts, the rate of student attrition, graduation rate, a budget for and explanation of mental health services available to students and a discussion of the school's Limestone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§2 (NEW).]</w:t>
      </w:r>
    </w:p>
    <w:p>
      <w:pPr>
        <w:jc w:val="both"/>
        <w:spacing w:before="100" w:after="0"/>
        <w:ind w:start="360"/>
        <w:ind w:firstLine="360"/>
      </w:pPr>
      <w:r>
        <w:rPr>
          <w:b/>
        </w:rPr>
        <w:t>17</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w:pPr>
        <w:jc w:val="both"/>
        <w:spacing w:before="100" w:after="0"/>
        <w:ind w:start="360"/>
        <w:ind w:firstLine="360"/>
      </w:pPr>
      <w:r>
        <w:rPr>
          <w:b/>
        </w:rPr>
        <w:t>18</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§LL3 (AMD). PL 1995, c. 485, §§2,3 (AMD). PL 1995, c. 625, §A22 (AMD). PL 1997, c. 760, §§1,2 (AMD). PL 1997, c. 772, §1 (AMD). PL 2009, c. 486, §10 (AMD). PL 2023, c. 464,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§8205.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§8205.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