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Gifts</w:t>
      </w:r>
    </w:p>
    <w:p>
      <w:pPr>
        <w:jc w:val="both"/>
        <w:spacing w:before="100" w:after="100"/>
        <w:ind w:start="360"/>
        <w:ind w:firstLine="360"/>
      </w:pPr>
      <w:r>
        <w:rPr/>
      </w:r>
      <w:r>
        <w:rPr/>
      </w:r>
      <w:r>
        <w:t xml:space="preserve">The Governor may accept a gift of money, real or personal property, from any source, and grants-in-aid from the Federal Government to assist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§851.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