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§8607-A.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§8607-A.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§8607-A.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