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PLANS AND SPECIFICATIONS FOR SCHOOL CONSTRUCTION</w:t>
      </w:r>
    </w:p>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502-A. PLANS AND SPECIFICATIONS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PLANS AND SPECIFICATIONS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502-A. PLANS AND SPECIFICATIONS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