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Application</w:t>
      </w:r>
    </w:p>
    <w:p>
      <w:pPr>
        <w:jc w:val="both"/>
        <w:spacing w:before="100" w:after="100"/>
        <w:ind w:start="360"/>
        <w:ind w:firstLine="360"/>
      </w:pPr>
      <w:r>
        <w:rPr/>
      </w:r>
      <w:r>
        <w:rPr/>
      </w:r>
      <w:r>
        <w:t xml:space="preserve">This subchapter applies to the activities of political action committees and ballot question committees organized in and outside this State that accept contributions, incur obligations or make expenditures to influence the nomination or election of a candidate to state, county or municipal office or to initiate or influence a campaign,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323,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280 (AMD). PL 1989, c. 833, §12 (AMD). PL 1991, c. 839, §26 (AMD). PL 1991, c. 839, §33 (AFF). PL 1995, c. 483, §16 (AMD). PL 2007, c. 443, Pt. A, §26 (AMD). PL 2007, c. 477, §1 (AMD). PL 2009, c. 190, Pt. A, §15 (AMD). PL 2019, c. 323,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